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1B5D" w14:textId="77777777" w:rsidR="002277BE" w:rsidRPr="002277BE" w:rsidRDefault="002277BE" w:rsidP="002277BE">
      <w:pPr>
        <w:rPr>
          <w:rFonts w:ascii="Palatino Linotype" w:hAnsi="Palatino Linotype"/>
          <w:noProof/>
          <w:color w:val="FF0000"/>
          <w:lang w:val="en-GB" w:eastAsia="en-US"/>
        </w:rPr>
      </w:pPr>
      <w:r w:rsidRPr="002277BE">
        <w:rPr>
          <w:rFonts w:ascii="Palatino Linotype" w:hAnsi="Palatino Linotype"/>
          <w:noProof/>
          <w:color w:val="FF0000"/>
          <w:lang w:val="en-GB" w:eastAsia="en-US"/>
        </w:rPr>
        <w:t>Embargado para publicación el</w:t>
      </w:r>
    </w:p>
    <w:p w14:paraId="21A783CC" w14:textId="21C2FED7" w:rsidR="002277BE" w:rsidRPr="002277BE" w:rsidRDefault="002277BE" w:rsidP="002277BE">
      <w:pPr>
        <w:rPr>
          <w:rFonts w:ascii="Palatino Linotype" w:hAnsi="Palatino Linotype"/>
          <w:noProof/>
          <w:color w:val="FF0000"/>
          <w:lang w:val="en-GB" w:eastAsia="en-US"/>
        </w:rPr>
      </w:pPr>
      <w:r w:rsidRPr="002277BE">
        <w:rPr>
          <w:rFonts w:ascii="Palatino Linotype" w:hAnsi="Palatino Linotype"/>
          <w:noProof/>
          <w:color w:val="FF0000"/>
          <w:lang w:val="en-GB" w:eastAsia="en-US"/>
        </w:rPr>
        <w:t>18:05 CET, 16 de enero de 2019</w:t>
      </w:r>
    </w:p>
    <w:p w14:paraId="3277E7C0" w14:textId="77777777" w:rsidR="002277BE" w:rsidRPr="002277BE" w:rsidRDefault="002277BE" w:rsidP="002277BE">
      <w:pPr>
        <w:rPr>
          <w:rFonts w:ascii="Palatino Linotype" w:hAnsi="Palatino Linotype"/>
          <w:noProof/>
          <w:color w:val="000000" w:themeColor="text1"/>
          <w:lang w:val="en-GB" w:eastAsia="en-US"/>
        </w:rPr>
      </w:pPr>
    </w:p>
    <w:p w14:paraId="3D0284E5" w14:textId="77777777" w:rsidR="002277BE" w:rsidRPr="002277BE" w:rsidRDefault="002277BE" w:rsidP="002277BE">
      <w:pPr>
        <w:rPr>
          <w:rFonts w:ascii="Palatino Linotype" w:hAnsi="Palatino Linotype"/>
          <w:b/>
          <w:bCs/>
          <w:noProof/>
          <w:color w:val="000000" w:themeColor="text1"/>
          <w:sz w:val="28"/>
          <w:szCs w:val="28"/>
          <w:lang w:val="en-GB" w:eastAsia="en-US"/>
        </w:rPr>
      </w:pPr>
      <w:r w:rsidRPr="002277BE">
        <w:rPr>
          <w:rFonts w:ascii="Palatino Linotype" w:hAnsi="Palatino Linotype"/>
          <w:b/>
          <w:bCs/>
          <w:noProof/>
          <w:color w:val="000000" w:themeColor="text1"/>
          <w:sz w:val="28"/>
          <w:szCs w:val="28"/>
          <w:lang w:val="en-GB" w:eastAsia="en-US"/>
        </w:rPr>
        <w:t>Nuevo studio muestra que las tasas de mortalidad por sepsis duplican a las estimadas –  Estudio  “Carga Global de la Sepsis” señala que los países pobres y los niños son atacados con mayor fuerza.</w:t>
      </w:r>
    </w:p>
    <w:p w14:paraId="24B11E5C" w14:textId="77777777" w:rsidR="002277BE" w:rsidRPr="002277BE" w:rsidRDefault="002277BE" w:rsidP="002277BE">
      <w:pPr>
        <w:rPr>
          <w:rFonts w:ascii="Palatino Linotype" w:hAnsi="Palatino Linotype"/>
          <w:noProof/>
          <w:color w:val="000000" w:themeColor="text1"/>
          <w:lang w:val="en-GB" w:eastAsia="en-US"/>
        </w:rPr>
      </w:pPr>
    </w:p>
    <w:p w14:paraId="39E668BE" w14:textId="50B74F41"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Un nuevo studio, el más completo sobre la elevada incidencia de la sepsis y la muerte por sepsis, fue publicado hoy en The Lancet, confirma que las tasas actuales son el doble de lo estimado previalemte, y que el 20% de las muertes mundiales son por esta sub-reportada mortal condición médica.</w:t>
      </w:r>
    </w:p>
    <w:p w14:paraId="23683F97" w14:textId="77777777" w:rsidR="002277BE" w:rsidRPr="002277BE" w:rsidRDefault="002277BE" w:rsidP="002277BE">
      <w:pPr>
        <w:rPr>
          <w:rFonts w:ascii="Palatino Linotype" w:hAnsi="Palatino Linotype"/>
          <w:noProof/>
          <w:color w:val="000000" w:themeColor="text1"/>
          <w:lang w:val="en-GB" w:eastAsia="en-US"/>
        </w:rPr>
      </w:pPr>
    </w:p>
    <w:p w14:paraId="574D1923" w14:textId="715C4890"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El estudio “Carga Global de la Sepsis” (Global Burden of Sepsis [GBS]), lidereado por la Dra. Kristina Rudd y el Dr. Mohsen Naghavi de la Universida de Washington y el Instituto de Métrica y Evaluación en Salud (IHME), es el primero en producir datos acorde a edad, sexo, ubicación y la causa subyacente de sepsis.</w:t>
      </w:r>
    </w:p>
    <w:p w14:paraId="43CA44EE" w14:textId="70C3E276"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El estudio encontró que hubo 48.9 millones de casos de sepsis en 2017, resultando en 11 millones de muertes alrededor del mundo. Previo a este análisis, el estimado global más reciente fue de 19.4 millones de casos de sepsis y 5.3 muertes relacionadas a sepsis, obtenido de datos de hospitalización de adultos en siete países de ingresos altos.</w:t>
      </w:r>
    </w:p>
    <w:p w14:paraId="25D3C6F9" w14:textId="77777777" w:rsidR="002277BE" w:rsidRPr="002277BE" w:rsidRDefault="002277BE" w:rsidP="002277BE">
      <w:pPr>
        <w:rPr>
          <w:rFonts w:ascii="Palatino Linotype" w:hAnsi="Palatino Linotype"/>
          <w:noProof/>
          <w:color w:val="000000" w:themeColor="text1"/>
          <w:lang w:val="en-GB" w:eastAsia="en-US"/>
        </w:rPr>
      </w:pPr>
    </w:p>
    <w:p w14:paraId="41C349E9" w14:textId="48850CE8"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“Estos estimados son al menos el doble de lo que asumíamos previamente, probablemente por que este estudio incluyó a países de bajos y medios ingresos” dijo el Prof. Dr. Konrad Reinhart, co-autor de este trabajo, presidente de la Global Sepsis Alliance y profesor en el Centro para Control y Cudiados de Sepsis en el Hospital Universitario de Jena, Berlín, Alemania. “La carga más grande de la sepsis está en el África de Sub-Sahara, Oceanía incluyendo Polinesia, Melanesia y Micronesia, y el sur, este y sudeste de Asia – localidades con menos equipo para prevenir, identificar, tratar y atender a los sobrevivientes de sepsis, muchos de los que tienen secuelas a largo plazo”.</w:t>
      </w:r>
    </w:p>
    <w:p w14:paraId="334D00F1" w14:textId="77777777" w:rsidR="002277BE" w:rsidRPr="002277BE" w:rsidRDefault="002277BE" w:rsidP="002277BE">
      <w:pPr>
        <w:rPr>
          <w:rFonts w:ascii="Palatino Linotype" w:hAnsi="Palatino Linotype"/>
          <w:noProof/>
          <w:color w:val="000000" w:themeColor="text1"/>
          <w:lang w:val="en-GB" w:eastAsia="en-US"/>
        </w:rPr>
      </w:pPr>
    </w:p>
    <w:p w14:paraId="7BF73540" w14:textId="77777777" w:rsidR="002277BE" w:rsidRP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La diferencia más notable entre el estudio previo y el estudio Global Burden of Sepsis, señaló, es que la mitad de los casos mundiales de 2017 ocurrieron entre niños, muchos de los cuales eran recién nacidos.</w:t>
      </w:r>
    </w:p>
    <w:p w14:paraId="55C2CEA3" w14:textId="77777777" w:rsidR="002277BE" w:rsidRP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 xml:space="preserve">“Estos hallazgos resaltan la urgente necesidad de acciones por parte de los creadores de políticas, clínicos e investigadores, particularmente en las regiones golpeadas más duro, así como entre poblaciones vulnerables, como los recién nacidos, niños y adultos mayores”, digo el co-autor Dr. Niranjar “Tex” Kissoon, vicepresidente de la </w:t>
      </w:r>
      <w:r w:rsidRPr="002277BE">
        <w:rPr>
          <w:rFonts w:ascii="Palatino Linotype" w:hAnsi="Palatino Linotype"/>
          <w:noProof/>
          <w:color w:val="000000" w:themeColor="text1"/>
          <w:lang w:val="en-GB" w:eastAsia="en-US"/>
        </w:rPr>
        <w:lastRenderedPageBreak/>
        <w:t>Global Sepsis Alliance y Director Ejecutivo Médico de Children’s and Women’s Global Health, profesor de Cuidados Críticos en el Hospital Infantil UBC y BC. “Existen un gran número de medidas costo-efectivas que pueden ser implementadas como la adecuada higiene de manos, sanitización de dispositivos hospitalarios y correcta administración de antimicrobianos con tratamientos cortos, así como el desarrollo de nuevos antibióticos.”</w:t>
      </w:r>
    </w:p>
    <w:p w14:paraId="2D7E1CC1" w14:textId="77777777" w:rsidR="002277BE" w:rsidRPr="002277BE" w:rsidRDefault="002277BE" w:rsidP="002277BE">
      <w:pPr>
        <w:rPr>
          <w:rFonts w:ascii="Palatino Linotype" w:hAnsi="Palatino Linotype"/>
          <w:noProof/>
          <w:color w:val="000000" w:themeColor="text1"/>
          <w:lang w:val="en-GB" w:eastAsia="en-US"/>
        </w:rPr>
      </w:pPr>
    </w:p>
    <w:p w14:paraId="5A21F446" w14:textId="77777777" w:rsidR="002277BE" w:rsidRP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El estudio GBS revisó 109 millones de registros de defunción, relacionados a 282 casusa subyacentes de sepsis, entre los años 1990 y 2017. El estudio incluyó 195 países y territorios, aplicando estimaciones por edad, sexo, ubicación, causa de la enfermedad y año de registro.</w:t>
      </w:r>
    </w:p>
    <w:p w14:paraId="63A50B4D" w14:textId="2C29DD2B"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Entre los grupos de edad, ambos sexos y todas las ubicaciones, en cada caso de 1990 a 2017, la causa más común de sepsis fue la enfermedad diarréica, como la Shigella, E. coli y otras infecciones bacterianas. La causa subyacente de sepsis en 2017 fueron las infecciones relacionadas a lesiones por accidentes de tráfico, complicaciones en mujeres embarazadas y neonatos.</w:t>
      </w:r>
    </w:p>
    <w:p w14:paraId="4DAF7C10" w14:textId="324609A0"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Datos del 2017 mostraron que la incidencia de sepsis fue ligeramente mayor en mujeres que en hombres, y despuntó en la infancia temprana, y de nuevo, en adultos mayores. Entre todas las edades, ambos sexos y todas las causas de muerte por sepsis – un estimado de 87% y 85% de los casos de sepsis en todo el mundo en 1990 y 2017, respectivamente, ocurrieron en países de ingreso bajo y medio-bajo.</w:t>
      </w:r>
    </w:p>
    <w:p w14:paraId="43EC12BF" w14:textId="77777777" w:rsidR="001D3A35" w:rsidRDefault="001D3A35" w:rsidP="002277BE">
      <w:pPr>
        <w:rPr>
          <w:rFonts w:ascii="Palatino Linotype" w:hAnsi="Palatino Linotype"/>
          <w:noProof/>
          <w:color w:val="000000" w:themeColor="text1"/>
          <w:lang w:val="en-GB" w:eastAsia="en-US"/>
        </w:rPr>
      </w:pPr>
    </w:p>
    <w:p w14:paraId="5BCB0FA9" w14:textId="5297F823" w:rsidR="001D3A35" w:rsidRDefault="001D3A35" w:rsidP="001D3A35">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2E5A3DBA" w14:textId="77777777" w:rsidR="001D3A35" w:rsidRDefault="001D3A35" w:rsidP="002277BE">
      <w:pPr>
        <w:rPr>
          <w:rFonts w:ascii="Palatino Linotype" w:hAnsi="Palatino Linotype"/>
          <w:noProof/>
          <w:color w:val="000000" w:themeColor="text1"/>
          <w:lang w:val="en-US" w:eastAsia="en-US"/>
        </w:rPr>
      </w:pPr>
    </w:p>
    <w:p w14:paraId="60374BA6" w14:textId="3321AF99" w:rsidR="002277BE" w:rsidRP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La sepsis, algunas veces conocida como “envenenamiento de la sangre”, es una condición que amenaza la vida, surge cuando la respuesta del cuerpo a la infección provoca disfunción y falla orgánica. La sepsis en etapas tempranas se confunde con otras enfermedades, lo que retrasa el reconocimiento de los signos y síntomas y lleva a falla multiorgánica y, finalmente, a la muerte. La sepsis debe ser tratada como una emergencia pues cada hora de retraso en la administración de antimicrobianos y otras medidas incrementa la mortalidad.</w:t>
      </w:r>
    </w:p>
    <w:p w14:paraId="6BED8D13" w14:textId="77777777" w:rsidR="002277BE" w:rsidRDefault="002277BE" w:rsidP="002277BE">
      <w:pPr>
        <w:rPr>
          <w:rFonts w:ascii="Palatino Linotype" w:hAnsi="Palatino Linotype"/>
          <w:noProof/>
          <w:color w:val="000000" w:themeColor="text1"/>
          <w:lang w:val="en-GB" w:eastAsia="en-US"/>
        </w:rPr>
      </w:pPr>
    </w:p>
    <w:p w14:paraId="445E1757" w14:textId="1349F21E"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En colaboración con la Global Sepsis Alliance, la sepsis fue designada como una urgente prioridad global por la Organización Mundial de la Salud en mayo de 2017, adoptando una resolución para mejorar, prevenir, diagnosticar y tratar la sepsis con una serie de acciones dirigidas a los países en desarrollados y en vías de desarrollo. En respuesta a la resolución, la OMS reconoce que la mayoría de los casos de sepsis son prevenibles, también con educación y entrenamiento en seguridad de los pacientes.</w:t>
      </w:r>
    </w:p>
    <w:p w14:paraId="16DA15C9" w14:textId="77777777" w:rsidR="002277BE" w:rsidRPr="002277BE" w:rsidRDefault="002277BE" w:rsidP="002277BE">
      <w:pPr>
        <w:rPr>
          <w:rFonts w:ascii="Palatino Linotype" w:hAnsi="Palatino Linotype"/>
          <w:noProof/>
          <w:color w:val="000000" w:themeColor="text1"/>
          <w:lang w:val="en-GB" w:eastAsia="en-US"/>
        </w:rPr>
      </w:pPr>
    </w:p>
    <w:p w14:paraId="68B23DFE" w14:textId="47826BED" w:rsid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 xml:space="preserve">Algunas figuras públicas como el Papa Juan Pablo II, Muhammad Ali, la Madre Theresa, Christopher Reeve, Patty Duke, Robert Palmer, Nathalie Cole, Roy Scheider, </w:t>
      </w:r>
      <w:r w:rsidRPr="002277BE">
        <w:rPr>
          <w:rFonts w:ascii="Palatino Linotype" w:hAnsi="Palatino Linotype"/>
          <w:noProof/>
          <w:color w:val="000000" w:themeColor="text1"/>
          <w:lang w:val="en-GB" w:eastAsia="en-US"/>
        </w:rPr>
        <w:lastRenderedPageBreak/>
        <w:t>Christian Brando, Jeff Conaway, Jim Henson, Brittany Murphy, el Príncipe Rainier de Mónaco, Leslie Nielson, Lawrence Welk, Rita McNeil y Anna Nicole Smith, por mencionar algunos, todos murieron de sepsis.</w:t>
      </w:r>
    </w:p>
    <w:p w14:paraId="71734DDE" w14:textId="77777777" w:rsidR="002277BE" w:rsidRPr="002277BE" w:rsidRDefault="002277BE" w:rsidP="002277BE">
      <w:pPr>
        <w:rPr>
          <w:rFonts w:ascii="Palatino Linotype" w:hAnsi="Palatino Linotype"/>
          <w:noProof/>
          <w:color w:val="000000" w:themeColor="text1"/>
          <w:lang w:val="en-GB" w:eastAsia="en-US"/>
        </w:rPr>
      </w:pPr>
    </w:p>
    <w:p w14:paraId="19012DDD" w14:textId="77777777" w:rsidR="002277BE" w:rsidRPr="002277BE" w:rsidRDefault="002277BE" w:rsidP="002277BE">
      <w:pPr>
        <w:rPr>
          <w:rFonts w:ascii="Palatino Linotype" w:hAnsi="Palatino Linotype"/>
          <w:noProof/>
          <w:color w:val="000000" w:themeColor="text1"/>
          <w:lang w:val="en-GB" w:eastAsia="en-US"/>
        </w:rPr>
      </w:pPr>
      <w:r w:rsidRPr="002277BE">
        <w:rPr>
          <w:rFonts w:ascii="Palatino Linotype" w:hAnsi="Palatino Linotype"/>
          <w:noProof/>
          <w:color w:val="000000" w:themeColor="text1"/>
          <w:lang w:val="en-GB" w:eastAsia="en-US"/>
        </w:rPr>
        <w:t>El financiemiento para el estudio Global Burden of Sepsis fue provisto por la Fundación Bill y Melinda Gates, el Instituto Nacional de Salud, la Universidad de Pittsburgh y la Universidad de Columbia Británica.</w:t>
      </w:r>
    </w:p>
    <w:p w14:paraId="5D494309" w14:textId="77777777" w:rsidR="002277BE" w:rsidRPr="002277BE" w:rsidRDefault="002277BE" w:rsidP="002277BE">
      <w:pPr>
        <w:rPr>
          <w:rFonts w:ascii="Palatino Linotype" w:hAnsi="Palatino Linotype"/>
          <w:noProof/>
          <w:color w:val="000000" w:themeColor="text1"/>
          <w:lang w:val="en-GB" w:eastAsia="en-US"/>
        </w:rPr>
      </w:pPr>
    </w:p>
    <w:p w14:paraId="31D2E1D3" w14:textId="77777777" w:rsidR="001D3A35" w:rsidRPr="00645FB1" w:rsidRDefault="001D3A35" w:rsidP="001D3A35">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1D3A35">
        <w:rPr>
          <w:rFonts w:ascii="Palatino Linotype" w:hAnsi="Palatino Linotype"/>
          <w:b/>
          <w:bCs/>
          <w:lang w:val="en-US"/>
        </w:rPr>
        <w:t xml:space="preserve"> </w:t>
      </w:r>
    </w:p>
    <w:p w14:paraId="022E21A4" w14:textId="77777777" w:rsidR="001D3A35" w:rsidRPr="00645FB1" w:rsidRDefault="001D3A35" w:rsidP="001D3A35">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3ECD36B8" w14:textId="77777777" w:rsidR="001D3A35" w:rsidRPr="00645FB1" w:rsidRDefault="001D3A35" w:rsidP="001D3A35">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61B8F5C7" w14:textId="77777777" w:rsidR="001D3A35" w:rsidRPr="00645FB1" w:rsidRDefault="001D3A35" w:rsidP="001D3A35">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5F578A92" w14:textId="3C6BD9CE" w:rsidR="008C6E44" w:rsidRDefault="008C6E44">
      <w:pPr>
        <w:rPr>
          <w:rFonts w:ascii="Palatino Linotype" w:hAnsi="Palatino Linotype"/>
          <w:noProof/>
          <w:color w:val="000000" w:themeColor="text1"/>
          <w:lang w:val="en-GB" w:eastAsia="en-US"/>
        </w:rPr>
      </w:pPr>
      <w:r>
        <w:rPr>
          <w:rFonts w:ascii="Palatino Linotype" w:hAnsi="Palatino Linotype"/>
          <w:noProof/>
          <w:color w:val="000000" w:themeColor="text1"/>
          <w:lang w:val="en-GB" w:eastAsia="en-US"/>
        </w:rPr>
        <w:br w:type="page"/>
      </w:r>
    </w:p>
    <w:p w14:paraId="702F2104" w14:textId="1EFD2FF6" w:rsidR="008C6E44" w:rsidRPr="008C6E44" w:rsidRDefault="008C6E44" w:rsidP="008C6E44">
      <w:pPr>
        <w:rPr>
          <w:rFonts w:ascii="Palatino Linotype" w:hAnsi="Palatino Linotype"/>
          <w:b/>
          <w:bCs/>
          <w:lang w:val="en-US"/>
        </w:rPr>
      </w:pPr>
      <w:r w:rsidRPr="008C6E44">
        <w:rPr>
          <w:rFonts w:ascii="Palatino Linotype" w:hAnsi="Palatino Linotype"/>
          <w:b/>
          <w:bCs/>
          <w:lang w:val="en-US"/>
        </w:rPr>
        <w:lastRenderedPageBreak/>
        <w:t>Preguntas y respuestas sobre el estudio “Carga Mundial de la Enfermedad” (</w:t>
      </w:r>
      <w:r w:rsidRPr="008C6E44">
        <w:rPr>
          <w:rFonts w:ascii="Palatino Linotype" w:hAnsi="Palatino Linotype"/>
          <w:b/>
          <w:bCs/>
          <w:i/>
          <w:iCs/>
          <w:lang w:val="en-US"/>
        </w:rPr>
        <w:t>Global Burden of Disease</w:t>
      </w:r>
      <w:r w:rsidRPr="008C6E44">
        <w:rPr>
          <w:rFonts w:ascii="Palatino Linotype" w:hAnsi="Palatino Linotype"/>
          <w:b/>
          <w:bCs/>
          <w:lang w:val="en-US"/>
        </w:rPr>
        <w:t>)</w:t>
      </w:r>
    </w:p>
    <w:p w14:paraId="5B127BAE" w14:textId="77777777" w:rsidR="008C6E44" w:rsidRPr="008C6E44" w:rsidRDefault="008C6E44" w:rsidP="008C6E44">
      <w:pPr>
        <w:rPr>
          <w:rFonts w:ascii="Palatino Linotype" w:hAnsi="Palatino Linotype"/>
          <w:lang w:val="en-US"/>
        </w:rPr>
      </w:pPr>
    </w:p>
    <w:p w14:paraId="6F1FAB55"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¿Qué es la sepsis?</w:t>
      </w:r>
    </w:p>
    <w:p w14:paraId="2CFCD603"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La sepsis es una reacción inflamatoria sistémica a una infección que pone en peligro la vida, pues afecta a todo el cuerpo y daña sus órganos. La sepsis puede ser causada por la mayoría de los microorganismos: bacterias, hongos, virus y parásitos. Veinte a treinta por ciento de los casos de sepsis ocurren en el hospital por infecciones nosocomiales / asociadas al tratamiento. La sepsis puede ser fatal sin un tratamiento rápido y efectivo con antibióticos, líquidos y otras medidas clínicas apropiadas. Para los sobrevivientes, la sepsis puede causar secuelas a largo plazo, como discapacidades o deterioro cognitivo, además de síntomas duraderos como, entre otros, mala memoria, dificultad para concentrarse, sensación constante de fatiga. Los sobrevivientes de sepsis están sujetos a un alto riesgo de reingresos.</w:t>
      </w:r>
    </w:p>
    <w:p w14:paraId="7AAB0DEC" w14:textId="1EBA6537" w:rsidR="008C6E44" w:rsidRPr="008C6E44" w:rsidRDefault="008C6E44" w:rsidP="008C6E44">
      <w:pPr>
        <w:rPr>
          <w:rFonts w:ascii="Palatino Linotype" w:hAnsi="Palatino Linotype"/>
          <w:lang w:val="en-US"/>
        </w:rPr>
      </w:pPr>
      <w:r w:rsidRPr="008C6E44">
        <w:rPr>
          <w:rFonts w:ascii="Palatino Linotype" w:hAnsi="Palatino Linotype"/>
          <w:lang w:val="en-US"/>
        </w:rPr>
        <w:t xml:space="preserve">Para obtener más información sobre la sepsis, consulte el </w:t>
      </w:r>
      <w:hyperlink r:id="rId8" w:history="1">
        <w:r w:rsidRPr="008C6E44">
          <w:rPr>
            <w:rStyle w:val="Hyperlink"/>
            <w:rFonts w:ascii="Palatino Linotype" w:hAnsi="Palatino Linotype"/>
            <w:lang w:val="en-US"/>
          </w:rPr>
          <w:t>sitio web del Día Mundial de la Sepsis</w:t>
        </w:r>
      </w:hyperlink>
      <w:r w:rsidRPr="008C6E44">
        <w:rPr>
          <w:rFonts w:ascii="Palatino Linotype" w:hAnsi="Palatino Linotype"/>
          <w:lang w:val="en-US"/>
        </w:rPr>
        <w:t>.</w:t>
      </w:r>
    </w:p>
    <w:p w14:paraId="0F4218F7" w14:textId="77777777" w:rsidR="008C6E44" w:rsidRPr="008C6E44" w:rsidRDefault="008C6E44" w:rsidP="008C6E44">
      <w:pPr>
        <w:rPr>
          <w:rFonts w:ascii="Palatino Linotype" w:hAnsi="Palatino Linotype"/>
          <w:lang w:val="en-US"/>
        </w:rPr>
      </w:pPr>
    </w:p>
    <w:p w14:paraId="75C46384"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¿Se puede prevenir la sepsis?</w:t>
      </w:r>
    </w:p>
    <w:p w14:paraId="0A2AAA1B"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La sepsis es la causa de muerte más prevenible. La Organización Mundial de la Salud (OMS) supone que la mayoría de las muertes causadas por sepsis, que son al menos 11 millones en todo el mundo, podrían prevenirse mediante vacunas, programas de prevención y control de infecciones en las instituciones de salud y mediante la detección y el manejo tempranos de la sepsis.</w:t>
      </w:r>
    </w:p>
    <w:p w14:paraId="21CC77B2" w14:textId="77777777" w:rsidR="008C6E44" w:rsidRPr="008C6E44" w:rsidRDefault="008C6E44" w:rsidP="008C6E44">
      <w:pPr>
        <w:rPr>
          <w:rFonts w:ascii="Palatino Linotype" w:hAnsi="Palatino Linotype"/>
          <w:lang w:val="en-US"/>
        </w:rPr>
      </w:pPr>
    </w:p>
    <w:p w14:paraId="3C18AFBF"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¿Cuál es el impacto de la sepsis?</w:t>
      </w:r>
    </w:p>
    <w:p w14:paraId="1A1B0230" w14:textId="03308D50" w:rsidR="008C6E44" w:rsidRPr="008C6E44" w:rsidRDefault="008C6E44" w:rsidP="008C6E44">
      <w:pPr>
        <w:rPr>
          <w:rFonts w:ascii="Palatino Linotype" w:hAnsi="Palatino Linotype"/>
          <w:lang w:val="en-US"/>
        </w:rPr>
      </w:pPr>
      <w:r w:rsidRPr="008C6E44">
        <w:rPr>
          <w:rFonts w:ascii="Palatino Linotype" w:hAnsi="Palatino Linotype"/>
          <w:lang w:val="en-US"/>
        </w:rPr>
        <w:t xml:space="preserve">El estudio </w:t>
      </w:r>
      <w:r w:rsidRPr="008C6E44">
        <w:rPr>
          <w:rFonts w:ascii="Palatino Linotype" w:hAnsi="Palatino Linotype"/>
          <w:i/>
          <w:iCs/>
          <w:lang w:val="en-US"/>
        </w:rPr>
        <w:t>Global Burden of Sepsis</w:t>
      </w:r>
      <w:r w:rsidRPr="008C6E44">
        <w:rPr>
          <w:rFonts w:ascii="Palatino Linotype" w:hAnsi="Palatino Linotype"/>
          <w:lang w:val="en-US"/>
        </w:rPr>
        <w:t>, publicado en 20</w:t>
      </w:r>
      <w:r w:rsidR="00643AA6">
        <w:rPr>
          <w:rFonts w:ascii="Palatino Linotype" w:hAnsi="Palatino Linotype"/>
          <w:lang w:val="en-US"/>
        </w:rPr>
        <w:t>20</w:t>
      </w:r>
      <w:r w:rsidRPr="008C6E44">
        <w:rPr>
          <w:rFonts w:ascii="Palatino Linotype" w:hAnsi="Palatino Linotype"/>
          <w:lang w:val="en-US"/>
        </w:rPr>
        <w:t>, encontró que hubo 48.9 millones de casos de sepsis en 2017, lo que resultó en 11 millones de muertes en todo el mundo, aproximadamente. Antes de este análisis, la estimación global más reciente de 19.4 millones de casos de sepsis y 5.3 millones de muertes relacionadas con sepsis se basó en datos de adultos hospitalizados en siete países de altos ingresos. El estudio de 2019 también muestra claramente que los países de ingresos medios y bajos son los más afectados, así como los niños (especialmente los recién nacidos) y los ancianos, para quienes la respuesta del sistema inmunitario a las infecciones generalmente se ve alterada.</w:t>
      </w:r>
    </w:p>
    <w:p w14:paraId="192FB013" w14:textId="6FC9B184" w:rsidR="008C6E44" w:rsidRDefault="008C6E44" w:rsidP="008C6E44">
      <w:pPr>
        <w:rPr>
          <w:rFonts w:ascii="Palatino Linotype" w:hAnsi="Palatino Linotype"/>
          <w:lang w:val="en-US"/>
        </w:rPr>
      </w:pPr>
      <w:r w:rsidRPr="008C6E44">
        <w:rPr>
          <w:rFonts w:ascii="Palatino Linotype" w:hAnsi="Palatino Linotype"/>
          <w:lang w:val="en-US"/>
        </w:rPr>
        <w:t>Los datos para el período 2017 también mostraron que la incidencia de sepsis fue ligeramente mayor en mujeres que en hombres. Se estima que el 85% de los casos de sepsis en todo el mundo en 2017 ocurrieron en países de ingresos bajos o medio-bajos. La mayor carga de sepsis se encuentra en África subsahariana, Oceanía, incluyendo Polinesia, Melanesia y Micronesia, y las partes sur, este y sureste de Asia.</w:t>
      </w:r>
    </w:p>
    <w:p w14:paraId="27ABFA2F" w14:textId="77777777" w:rsidR="008C6E44" w:rsidRPr="008C6E44" w:rsidRDefault="008C6E44" w:rsidP="008C6E44">
      <w:pPr>
        <w:rPr>
          <w:rFonts w:ascii="Palatino Linotype" w:hAnsi="Palatino Linotype"/>
          <w:lang w:val="en-US"/>
        </w:rPr>
      </w:pPr>
    </w:p>
    <w:p w14:paraId="55828B10" w14:textId="0BA99FD7" w:rsidR="008C6E44" w:rsidRDefault="008C6E44" w:rsidP="008C6E44">
      <w:pPr>
        <w:rPr>
          <w:rFonts w:ascii="Palatino Linotype" w:hAnsi="Palatino Linotype"/>
          <w:i/>
          <w:iCs/>
          <w:lang w:val="en-US"/>
        </w:rPr>
      </w:pPr>
      <w:r w:rsidRPr="008C6E44">
        <w:rPr>
          <w:rFonts w:ascii="Palatino Linotype" w:hAnsi="Palatino Linotype"/>
          <w:i/>
          <w:iCs/>
          <w:highlight w:val="yellow"/>
          <w:lang w:val="en-US"/>
        </w:rPr>
        <w:t>Inserte aquí los datos específicos de la región / país (es decir, XXX.000 europeos mueren de sepsis cada año, para actualizar)</w:t>
      </w:r>
    </w:p>
    <w:p w14:paraId="0565A884" w14:textId="77777777" w:rsidR="008C6E44" w:rsidRPr="008C6E44" w:rsidRDefault="008C6E44" w:rsidP="008C6E44">
      <w:pPr>
        <w:rPr>
          <w:rFonts w:ascii="Palatino Linotype" w:hAnsi="Palatino Linotype"/>
          <w:i/>
          <w:iCs/>
          <w:lang w:val="en-US"/>
        </w:rPr>
      </w:pPr>
    </w:p>
    <w:p w14:paraId="0C1DCD91"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Según los Centros para el Control y la Prevención de Enfermedades, la sepsis representa más de $ 24 mil millones de dólares en costos hospitalarios anuales totales en los EE. UU.</w:t>
      </w:r>
    </w:p>
    <w:p w14:paraId="6E63E49A" w14:textId="27FE8647" w:rsidR="008C6E44" w:rsidRDefault="008C6E44" w:rsidP="008C6E44">
      <w:pPr>
        <w:rPr>
          <w:rFonts w:ascii="Palatino Linotype" w:hAnsi="Palatino Linotype"/>
          <w:lang w:val="en-US"/>
        </w:rPr>
      </w:pPr>
      <w:r w:rsidRPr="008C6E44">
        <w:rPr>
          <w:rFonts w:ascii="Palatino Linotype" w:hAnsi="Palatino Linotype"/>
          <w:lang w:val="en-US"/>
        </w:rPr>
        <w:t>En 2017, el Consorcio de Economía de la Salud de York 2017 sugirió un costo para la economía del Reino Unido de hasta £ 15.6 mil millones anuales.</w:t>
      </w:r>
    </w:p>
    <w:p w14:paraId="6A721FB7" w14:textId="77777777" w:rsidR="008C6E44" w:rsidRPr="008C6E44" w:rsidRDefault="008C6E44" w:rsidP="008C6E44">
      <w:pPr>
        <w:rPr>
          <w:rFonts w:ascii="Palatino Linotype" w:hAnsi="Palatino Linotype"/>
          <w:lang w:val="en-US"/>
        </w:rPr>
      </w:pPr>
    </w:p>
    <w:p w14:paraId="0945D93E" w14:textId="3737AC16" w:rsidR="008C6E44" w:rsidRDefault="008C6E44" w:rsidP="008C6E44">
      <w:pPr>
        <w:rPr>
          <w:rFonts w:ascii="Palatino Linotype" w:hAnsi="Palatino Linotype"/>
          <w:i/>
          <w:iCs/>
          <w:lang w:val="en-US"/>
        </w:rPr>
      </w:pPr>
      <w:r w:rsidRPr="008C6E44">
        <w:rPr>
          <w:rFonts w:ascii="Palatino Linotype" w:hAnsi="Palatino Linotype"/>
          <w:i/>
          <w:iCs/>
          <w:highlight w:val="yellow"/>
          <w:lang w:val="en-US"/>
        </w:rPr>
        <w:t>Inserte aquí los datos de la carga económica local, si están disponibles.</w:t>
      </w:r>
    </w:p>
    <w:p w14:paraId="6DD1A474" w14:textId="77777777" w:rsidR="008C6E44" w:rsidRPr="008C6E44" w:rsidRDefault="008C6E44" w:rsidP="008C6E44">
      <w:pPr>
        <w:rPr>
          <w:rFonts w:ascii="Palatino Linotype" w:hAnsi="Palatino Linotype"/>
          <w:i/>
          <w:iCs/>
          <w:lang w:val="en-US"/>
        </w:rPr>
      </w:pPr>
    </w:p>
    <w:p w14:paraId="57ABC536"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Aunque no está dentro del alcance del estudio, el impacto para los 38 millones de sobrevivientes de sepsis es menos cuantificable, aunque no despreciable. En la mayoría de los casos, sufren discapacidades y deterioro cognitivo, con efectos duraderos en ellos y sus familias.</w:t>
      </w:r>
    </w:p>
    <w:p w14:paraId="73B99077" w14:textId="77777777" w:rsidR="008C6E44" w:rsidRPr="008C6E44" w:rsidRDefault="008C6E44" w:rsidP="008C6E44">
      <w:pPr>
        <w:rPr>
          <w:rFonts w:ascii="Palatino Linotype" w:hAnsi="Palatino Linotype"/>
          <w:b/>
          <w:bCs/>
          <w:lang w:val="en-US"/>
        </w:rPr>
      </w:pPr>
    </w:p>
    <w:p w14:paraId="30E81BFE"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¿Por qué es este estudio importante?</w:t>
      </w:r>
    </w:p>
    <w:p w14:paraId="5386B55D"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 xml:space="preserve">El estudio de </w:t>
      </w:r>
      <w:r w:rsidRPr="008C6E44">
        <w:rPr>
          <w:rFonts w:ascii="Palatino Linotype" w:hAnsi="Palatino Linotype"/>
          <w:i/>
          <w:iCs/>
          <w:lang w:val="en-US"/>
        </w:rPr>
        <w:t>Global Burden of Sepsis</w:t>
      </w:r>
      <w:r w:rsidRPr="008C6E44">
        <w:rPr>
          <w:rFonts w:ascii="Palatino Linotype" w:hAnsi="Palatino Linotype"/>
          <w:lang w:val="en-US"/>
        </w:rPr>
        <w:t xml:space="preserve"> es el primero en producir datos de sepsis de países con diferentes niveles de índice sociodemográfico (SDI) y para entornos hospitalarios y comunitarios, en relación con la edad, el sexo y la causa subyacente de la sepsis. Anteriormente, el estudio </w:t>
      </w:r>
      <w:r w:rsidRPr="008C6E44">
        <w:rPr>
          <w:rFonts w:ascii="Palatino Linotype" w:hAnsi="Palatino Linotype"/>
          <w:i/>
          <w:iCs/>
          <w:lang w:val="en-US"/>
        </w:rPr>
        <w:t>Lancet Global Burden of Disease</w:t>
      </w:r>
      <w:r w:rsidRPr="008C6E44">
        <w:rPr>
          <w:rFonts w:ascii="Palatino Linotype" w:hAnsi="Palatino Linotype"/>
          <w:lang w:val="en-US"/>
        </w:rPr>
        <w:t xml:space="preserve"> había limitado el alcance de los informes de sepsis a sepsis neonatal solamente. Este estudio adopta un enfoque mucho más amplio y analiza todo el espectro de sepsis en todo el mundo. El estudio de </w:t>
      </w:r>
      <w:r w:rsidRPr="008C6E44">
        <w:rPr>
          <w:rFonts w:ascii="Palatino Linotype" w:hAnsi="Palatino Linotype"/>
          <w:i/>
          <w:iCs/>
          <w:lang w:val="en-US"/>
        </w:rPr>
        <w:t>Global Burden of Sepsis</w:t>
      </w:r>
      <w:r w:rsidRPr="008C6E44">
        <w:rPr>
          <w:rFonts w:ascii="Palatino Linotype" w:hAnsi="Palatino Linotype"/>
          <w:lang w:val="en-US"/>
        </w:rPr>
        <w:t xml:space="preserve"> revela que el número de casos de sepsis y muertes causadas por sepsis es el doble de las cifras disponibles anteriormente, y estima que el 20 por ciento de las muertes globales se deben a la sepsis.</w:t>
      </w:r>
    </w:p>
    <w:p w14:paraId="71E8A5AC" w14:textId="77777777" w:rsidR="008C6E44" w:rsidRPr="008C6E44" w:rsidRDefault="008C6E44" w:rsidP="008C6E44">
      <w:pPr>
        <w:rPr>
          <w:rFonts w:ascii="Palatino Linotype" w:hAnsi="Palatino Linotype"/>
          <w:lang w:val="en-US"/>
        </w:rPr>
      </w:pPr>
    </w:p>
    <w:p w14:paraId="05289F1D"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¿Por qué han aumentado los casos de sepsis y las muertes?</w:t>
      </w:r>
    </w:p>
    <w:p w14:paraId="026CD71B" w14:textId="2555F897" w:rsidR="008C6E44" w:rsidRPr="008C6E44" w:rsidRDefault="008C6E44" w:rsidP="008C6E44">
      <w:pPr>
        <w:rPr>
          <w:rFonts w:ascii="Palatino Linotype" w:hAnsi="Palatino Linotype"/>
          <w:lang w:val="en-US"/>
        </w:rPr>
      </w:pPr>
      <w:r w:rsidRPr="008C6E44">
        <w:rPr>
          <w:rFonts w:ascii="Palatino Linotype" w:hAnsi="Palatino Linotype"/>
          <w:lang w:val="en-US"/>
        </w:rPr>
        <w:t xml:space="preserve">Hay una serie de factores que podrían explicar la diferencia significativa en comparación con los hallazgos anteriores, y las dificultades actuales para recopilar datos precisos. Lo que es más importante, el alcance del estudio </w:t>
      </w:r>
      <w:r w:rsidRPr="008C6E44">
        <w:rPr>
          <w:rFonts w:ascii="Palatino Linotype" w:hAnsi="Palatino Linotype"/>
          <w:i/>
          <w:iCs/>
          <w:lang w:val="en-US"/>
        </w:rPr>
        <w:t>Global Burden of Sepsis</w:t>
      </w:r>
      <w:r w:rsidRPr="008C6E44">
        <w:rPr>
          <w:rFonts w:ascii="Palatino Linotype" w:hAnsi="Palatino Linotype"/>
          <w:lang w:val="en-US"/>
        </w:rPr>
        <w:t xml:space="preserve"> es más amplio que los estudios anteriores. El estudio examinó 109 millones de registros de defunciones, relacionados con 282 causas subyacentes de sepsis, entre los años 1990 a 2017. El estudio incluyó 195 países y territorios, aplicando estimaciones de edad, sexo, ubicación, causa de la enfermedad y el año. A menudo, las enfermedades se clasifican con los códigos CIE</w:t>
      </w:r>
      <w:r>
        <w:rPr>
          <w:rStyle w:val="FootnoteReference"/>
          <w:rFonts w:ascii="Palatino Linotype" w:hAnsi="Palatino Linotype"/>
          <w:lang w:val="en-US"/>
        </w:rPr>
        <w:footnoteReference w:id="1"/>
      </w:r>
      <w:r w:rsidRPr="008C6E44">
        <w:rPr>
          <w:rFonts w:ascii="Palatino Linotype" w:hAnsi="Palatino Linotype"/>
          <w:lang w:val="en-US"/>
        </w:rPr>
        <w:t xml:space="preserve"> relacionados con el diagnóstico subyacente, en lugar de con el código de sepsis en sí. Esto ha alterado la precisión de los datos, especialmente en estudios previos. Probablemente, la carga de la sepsis se ha mantenido proporcionalmente similar a lo largo de los años, pero hoy en día los </w:t>
      </w:r>
      <w:r w:rsidRPr="008C6E44">
        <w:rPr>
          <w:rFonts w:ascii="Palatino Linotype" w:hAnsi="Palatino Linotype"/>
          <w:lang w:val="en-US"/>
        </w:rPr>
        <w:lastRenderedPageBreak/>
        <w:t>médicos y el personal de atención médica son más conscientes y los registros médicos son más precisos.</w:t>
      </w:r>
    </w:p>
    <w:p w14:paraId="13B4A3BB" w14:textId="77777777" w:rsidR="008C6E44" w:rsidRDefault="008C6E44" w:rsidP="008C6E44">
      <w:pPr>
        <w:rPr>
          <w:rFonts w:ascii="Palatino Linotype" w:hAnsi="Palatino Linotype"/>
          <w:lang w:val="en-US"/>
        </w:rPr>
      </w:pPr>
    </w:p>
    <w:p w14:paraId="1A09F96D" w14:textId="4E72585C" w:rsidR="008C6E44" w:rsidRPr="008C6E44" w:rsidRDefault="008C6E44" w:rsidP="008C6E44">
      <w:pPr>
        <w:rPr>
          <w:rFonts w:ascii="Palatino Linotype" w:hAnsi="Palatino Linotype"/>
          <w:lang w:val="en-US"/>
        </w:rPr>
      </w:pPr>
      <w:r w:rsidRPr="008C6E44">
        <w:rPr>
          <w:rFonts w:ascii="Palatino Linotype" w:hAnsi="Palatino Linotype"/>
          <w:lang w:val="en-US"/>
        </w:rPr>
        <w:t>Entre las muchas amenazas que pueden causar infecciones (y, por lo tanto, sepsis) se incluyen los aspectos ambientales y de salud pública. Las consecuencias directas e indirectas de la crisis climática, que se han disparado en los últimos años, han afectado particularmente a los países de bajos y medianos ingresos (LMIC). Las condiciones sanitarias precarias que siguen a las catástrofes ambientales, el acceso limitado al agua limpia y la urbanización masiva, a menudo en áreas insalubres, son ejemplos de condiciones previas para la propagación de enfermedades transmisibles y el desarrollo de infecciones que pueden conducir a la sepsis. Por lo tanto, el impacto de la sepsis es mayor en áreas menos equipadas para enfrentarla.</w:t>
      </w:r>
    </w:p>
    <w:p w14:paraId="0BB28B90"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Todo lo anterior coloca la sepsis en el mapa de las prioridades mundiales de salud pública y medio ambiente identificadas por los Objetivos de Desarrollo Sostenible de la ONU. Teniendo en cuenta los vínculos con la mortalidad materna y neonatal, la lucha contra la sepsis contribuirá claramente al logro de los objetivos 3.1 y 3.2 de los Objetivos de Desarrollo Sostenible (ODS) de las Naciones Unidas. La sepsis también puede provocar la muerte en pacientes afectados por el VIH, la tuberculosis, la malaria y otras enfermedades infecciosas incluidas en el objetivo 3.3, aunque la sepsis no es uno de los indicadores.</w:t>
      </w:r>
    </w:p>
    <w:p w14:paraId="5BA0D94B"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Incluso si es menos directa, la sepsis también es relevante para otros objetivos de salud en el ODS 3 (es decir, cobertura de vacuna adecuada, cobertura de salud universal de calidad, capacidad para cumplir con el Reglamento Sanitario Internacional, preparación y servicios de agua y saneamiento).</w:t>
      </w:r>
    </w:p>
    <w:p w14:paraId="44BD051C" w14:textId="77777777" w:rsidR="008C6E44" w:rsidRPr="008C6E44" w:rsidRDefault="008C6E44" w:rsidP="008C6E44">
      <w:pPr>
        <w:rPr>
          <w:rFonts w:ascii="Palatino Linotype" w:hAnsi="Palatino Linotype"/>
          <w:lang w:val="en-US"/>
        </w:rPr>
      </w:pPr>
    </w:p>
    <w:p w14:paraId="2279EE79"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¿Qué espera GSA de la publicación del estudio?</w:t>
      </w:r>
    </w:p>
    <w:p w14:paraId="3ABE4FA1" w14:textId="5A11D7F7" w:rsidR="008C6E44" w:rsidRPr="008C6E44" w:rsidRDefault="008C6E44" w:rsidP="008C6E44">
      <w:pPr>
        <w:rPr>
          <w:rFonts w:ascii="Palatino Linotype" w:hAnsi="Palatino Linotype"/>
          <w:lang w:val="en-US"/>
        </w:rPr>
      </w:pPr>
      <w:r w:rsidRPr="008C6E44">
        <w:rPr>
          <w:rFonts w:ascii="Palatino Linotype" w:hAnsi="Palatino Linotype"/>
          <w:lang w:val="en-US"/>
        </w:rPr>
        <w:t xml:space="preserve">La visión de la </w:t>
      </w:r>
      <w:r w:rsidRPr="008C6E44">
        <w:rPr>
          <w:rFonts w:ascii="Palatino Linotype" w:hAnsi="Palatino Linotype"/>
          <w:i/>
          <w:iCs/>
          <w:lang w:val="en-US"/>
        </w:rPr>
        <w:t>Global Sepsis Alliance</w:t>
      </w:r>
      <w:r w:rsidRPr="008C6E44">
        <w:rPr>
          <w:rFonts w:ascii="Palatino Linotype" w:hAnsi="Palatino Linotype"/>
          <w:lang w:val="en-US"/>
        </w:rPr>
        <w:t xml:space="preserve"> es un mundo sin sepsis y podemos alcanzarlo mediante la prevención</w:t>
      </w:r>
      <w:r>
        <w:rPr>
          <w:rStyle w:val="FootnoteReference"/>
          <w:rFonts w:ascii="Palatino Linotype" w:hAnsi="Palatino Linotype"/>
          <w:lang w:val="en-US"/>
        </w:rPr>
        <w:footnoteReference w:id="2"/>
      </w:r>
      <w:r w:rsidRPr="008C6E44">
        <w:rPr>
          <w:rFonts w:ascii="Palatino Linotype" w:hAnsi="Palatino Linotype"/>
          <w:lang w:val="en-US"/>
        </w:rPr>
        <w:t xml:space="preserve">, el reconocimiento, el tratamiento adecuado y la investigación. El estudio </w:t>
      </w:r>
      <w:r w:rsidRPr="008C6E44">
        <w:rPr>
          <w:rFonts w:ascii="Palatino Linotype" w:hAnsi="Palatino Linotype"/>
          <w:i/>
          <w:iCs/>
          <w:lang w:val="en-US"/>
        </w:rPr>
        <w:t>Global Burden of Sepsis</w:t>
      </w:r>
      <w:r w:rsidRPr="008C6E44">
        <w:rPr>
          <w:rFonts w:ascii="Palatino Linotype" w:hAnsi="Palatino Linotype"/>
          <w:lang w:val="en-US"/>
        </w:rPr>
        <w:t xml:space="preserve"> crea un impulso para crear conciencia sobre la sepsis entre los profesionales, las partes interesadas, el público y, lo que es más importante, entre los responsables políticos. Hemos realizado algunos progresos fantásticos en los últimos años, pero aún queda mucho por hacer. Pedimos a los encargados de formular políticas y a los órganos rectores de todo el mundo que reconozcan la gran carga que representa la sepsis para la salud pública, asignen recursos y actúen en consecuencia para implementar planes nacionales de prevención y tratamiento de la sepsis. También necesitamos una mejor recopilación de datos y campañas continuas de sensibilización para combatir la sepsis.</w:t>
      </w:r>
    </w:p>
    <w:p w14:paraId="0526E3E8" w14:textId="77777777" w:rsidR="008C6E44" w:rsidRPr="008C6E44" w:rsidRDefault="008C6E44" w:rsidP="008C6E44">
      <w:pPr>
        <w:rPr>
          <w:rFonts w:ascii="Palatino Linotype" w:hAnsi="Palatino Linotype"/>
          <w:highlight w:val="yellow"/>
          <w:lang w:val="en-US"/>
        </w:rPr>
      </w:pPr>
    </w:p>
    <w:p w14:paraId="4001F820"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lastRenderedPageBreak/>
        <w:t>¿Qué se ha hecho ya?</w:t>
      </w:r>
    </w:p>
    <w:p w14:paraId="2698A9FC" w14:textId="107F72EF" w:rsidR="008C6E44" w:rsidRDefault="008C6E44" w:rsidP="008C6E44">
      <w:pPr>
        <w:rPr>
          <w:rFonts w:ascii="Palatino Linotype" w:hAnsi="Palatino Linotype"/>
          <w:lang w:val="en-US"/>
        </w:rPr>
      </w:pPr>
      <w:r w:rsidRPr="008C6E44">
        <w:rPr>
          <w:rFonts w:ascii="Palatino Linotype" w:hAnsi="Palatino Linotype"/>
          <w:lang w:val="en-US"/>
        </w:rPr>
        <w:t xml:space="preserve">A través de los años, la </w:t>
      </w:r>
      <w:r w:rsidRPr="008C6E44">
        <w:rPr>
          <w:rFonts w:ascii="Palatino Linotype" w:hAnsi="Palatino Linotype"/>
          <w:i/>
          <w:iCs/>
          <w:lang w:val="en-US"/>
        </w:rPr>
        <w:t>Global Sepsis Alliance</w:t>
      </w:r>
      <w:r w:rsidRPr="008C6E44">
        <w:rPr>
          <w:rFonts w:ascii="Palatino Linotype" w:hAnsi="Palatino Linotype"/>
          <w:lang w:val="en-US"/>
        </w:rPr>
        <w:t xml:space="preserve"> y muchas otras organizaciones e individuos han contribuido a crear conciencia e implementar un tratamiento efectivo para la sepsis. </w:t>
      </w:r>
      <w:r w:rsidRPr="008C6E44">
        <w:rPr>
          <w:rFonts w:ascii="Palatino Linotype" w:hAnsi="Palatino Linotype"/>
        </w:rPr>
        <w:t xml:space="preserve">En 2012, la GSA estableció el Día Mundial de la Sepsis. </w:t>
      </w:r>
      <w:r w:rsidRPr="008C6E44">
        <w:rPr>
          <w:rFonts w:ascii="Palatino Linotype" w:hAnsi="Palatino Linotype"/>
          <w:lang w:val="en-US"/>
        </w:rPr>
        <w:t>El 13 de septiembre de cada año, cientos de iniciativas organizadas por nuestros miembros y socios ocurren en todo el mundo. También organizamos el Congreso Mundial de Sepsis y el Simposio de Sepsis, que reúne a expertos de renombre y actores clave involucrados en la lucha contra la sepsis. Además, también estamos trabajando para involucrar a los formuladores de políticas para implementar las recomendaciones de la OMS. De hecho, en 2017, la Asamblea Mundial de la Salud, el órgano ejecutivo de la OMS, adoptó una resolución sobre sepsis. La Resolución de Sepsis insta a los 194 Estados Miembros de las Naciones Unidas a implementar medidas apropiadas para reducir la carga económica de la sepsis humana y sanitaria. Sin embargo, hasta la fecha, solo 16 países</w:t>
      </w:r>
      <w:r w:rsidRPr="008C6E44">
        <w:rPr>
          <w:rStyle w:val="FootnoteReference"/>
          <w:rFonts w:ascii="Palatino Linotype" w:hAnsi="Palatino Linotype"/>
          <w:lang w:val="en-US"/>
        </w:rPr>
        <w:footnoteReference w:id="3"/>
      </w:r>
      <w:r w:rsidRPr="008C6E44">
        <w:rPr>
          <w:rFonts w:ascii="Palatino Linotype" w:hAnsi="Palatino Linotype"/>
          <w:lang w:val="en-US"/>
        </w:rPr>
        <w:t xml:space="preserve"> han implementado o propuesto planes nacionales.</w:t>
      </w:r>
    </w:p>
    <w:p w14:paraId="046906BB" w14:textId="77777777" w:rsidR="008C6E44" w:rsidRPr="008C6E44" w:rsidRDefault="008C6E44" w:rsidP="008C6E44">
      <w:pPr>
        <w:rPr>
          <w:rFonts w:ascii="Palatino Linotype" w:hAnsi="Palatino Linotype"/>
          <w:lang w:val="en-US"/>
        </w:rPr>
      </w:pPr>
    </w:p>
    <w:p w14:paraId="16E79EBD" w14:textId="77777777" w:rsidR="008C6E44" w:rsidRPr="008C6E44" w:rsidRDefault="008C6E44" w:rsidP="008C6E44">
      <w:pPr>
        <w:rPr>
          <w:rFonts w:ascii="Palatino Linotype" w:hAnsi="Palatino Linotype"/>
          <w:i/>
          <w:iCs/>
          <w:lang w:val="en-US"/>
        </w:rPr>
      </w:pPr>
      <w:r w:rsidRPr="008C6E44">
        <w:rPr>
          <w:rFonts w:ascii="Palatino Linotype" w:hAnsi="Palatino Linotype"/>
          <w:i/>
          <w:iCs/>
          <w:highlight w:val="yellow"/>
          <w:lang w:val="en-US"/>
        </w:rPr>
        <w:t>Agregue aquí estudios de caso / logros adicionales</w:t>
      </w:r>
    </w:p>
    <w:p w14:paraId="4EC17234" w14:textId="77777777" w:rsidR="008C6E44" w:rsidRPr="008C6E44" w:rsidRDefault="008C6E44" w:rsidP="008C6E44">
      <w:pPr>
        <w:rPr>
          <w:rFonts w:ascii="Palatino Linotype" w:hAnsi="Palatino Linotype"/>
          <w:lang w:val="en-US"/>
        </w:rPr>
      </w:pPr>
    </w:p>
    <w:p w14:paraId="6E4721E9" w14:textId="77777777" w:rsidR="008C6E44" w:rsidRPr="008C6E44" w:rsidRDefault="008C6E44" w:rsidP="008C6E44">
      <w:pPr>
        <w:rPr>
          <w:rFonts w:ascii="Palatino Linotype" w:hAnsi="Palatino Linotype"/>
          <w:b/>
          <w:bCs/>
          <w:lang w:val="en-US"/>
        </w:rPr>
      </w:pPr>
      <w:r w:rsidRPr="008C6E44">
        <w:rPr>
          <w:rFonts w:ascii="Palatino Linotype" w:hAnsi="Palatino Linotype"/>
          <w:b/>
          <w:bCs/>
          <w:lang w:val="en-US"/>
        </w:rPr>
        <w:t>¿Qué se tiene que hacer?</w:t>
      </w:r>
    </w:p>
    <w:p w14:paraId="39ECCC80" w14:textId="77777777" w:rsidR="008C6E44" w:rsidRPr="008C6E44" w:rsidRDefault="008C6E44" w:rsidP="008C6E44">
      <w:pPr>
        <w:rPr>
          <w:rFonts w:ascii="Palatino Linotype" w:hAnsi="Palatino Linotype"/>
          <w:lang w:val="en-US"/>
        </w:rPr>
      </w:pPr>
      <w:r w:rsidRPr="008C6E44">
        <w:rPr>
          <w:rFonts w:ascii="Palatino Linotype" w:hAnsi="Palatino Linotype"/>
          <w:lang w:val="en-US"/>
        </w:rPr>
        <w:t>Los gobiernos y las organizaciones internacionales deben asignar fondos y recursos para investigación, campañas de sensibilización, implementación de procedimientos en hospitales y apoyo a sobrevivientes y familias. A este respecto, los Estados miembros de la OMS tienen la obligación de abordar la sepsis de manera más integral. Los órganos de gobierno regionales, como la Unión Europea, pueden facilitar este proceso mediante la creación de programas específicos (es decir, programas de gestión de infecciones) e intercambio de mejores prácticas. Además, la OMS, incluidas sus oficinas regionales, debería centrarse más en la sepsis mediante la asignación de más recursos y personal dedicado.</w:t>
      </w:r>
    </w:p>
    <w:p w14:paraId="108F9AB7" w14:textId="77777777" w:rsidR="008C6E44" w:rsidRPr="002277BE" w:rsidRDefault="008C6E44" w:rsidP="002277BE">
      <w:pPr>
        <w:rPr>
          <w:color w:val="000000" w:themeColor="text1"/>
          <w:lang w:val="en-US"/>
        </w:rPr>
      </w:pPr>
    </w:p>
    <w:sectPr w:rsidR="008C6E44" w:rsidRPr="002277BE" w:rsidSect="00E429C4">
      <w:headerReference w:type="even" r:id="rId9"/>
      <w:headerReference w:type="default" r:id="rId10"/>
      <w:footerReference w:type="even" r:id="rId11"/>
      <w:footerReference w:type="default" r:id="rId12"/>
      <w:headerReference w:type="first" r:id="rId13"/>
      <w:footerReference w:type="first" r:id="rId14"/>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DD47" w14:textId="77777777" w:rsidR="00DB0892" w:rsidRDefault="00DB0892">
      <w:r>
        <w:separator/>
      </w:r>
    </w:p>
  </w:endnote>
  <w:endnote w:type="continuationSeparator" w:id="0">
    <w:p w14:paraId="79D05D6D" w14:textId="77777777" w:rsidR="00DB0892" w:rsidRDefault="00DB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8E2A" w14:textId="77777777" w:rsidR="00E429C4" w:rsidRDefault="00E42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0037" w14:textId="77777777" w:rsidR="00E429C4" w:rsidRDefault="00E42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440E9A87" w:rsidR="00A336FA" w:rsidRDefault="00A336FA">
    <w:pPr>
      <w:pStyle w:val="Footer"/>
    </w:pPr>
    <w:bookmarkStart w:id="1" w:name="_GoBack"/>
    <w:bookmarkEnd w:id="1"/>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870C" w14:textId="77777777" w:rsidR="00DB0892" w:rsidRDefault="00DB0892">
      <w:bookmarkStart w:id="0" w:name="_Hlk483827447"/>
      <w:bookmarkEnd w:id="0"/>
      <w:r>
        <w:separator/>
      </w:r>
    </w:p>
  </w:footnote>
  <w:footnote w:type="continuationSeparator" w:id="0">
    <w:p w14:paraId="68393D5E" w14:textId="77777777" w:rsidR="00DB0892" w:rsidRDefault="00DB0892">
      <w:r>
        <w:continuationSeparator/>
      </w:r>
    </w:p>
  </w:footnote>
  <w:footnote w:id="1">
    <w:p w14:paraId="26DADD22" w14:textId="148E3816" w:rsidR="008C6E44" w:rsidRPr="008C6E44" w:rsidRDefault="008C6E44" w:rsidP="008C6E44">
      <w:pPr>
        <w:spacing w:after="160" w:line="259" w:lineRule="auto"/>
        <w:rPr>
          <w:rFonts w:ascii="Palatino Linotype" w:hAnsi="Palatino Linotype"/>
          <w:lang w:val="en-US"/>
        </w:rPr>
      </w:pPr>
      <w:r>
        <w:rPr>
          <w:rStyle w:val="FootnoteReference"/>
        </w:rPr>
        <w:footnoteRef/>
      </w:r>
      <w:r w:rsidRPr="008C6E44">
        <w:rPr>
          <w:rFonts w:ascii="Palatino Linotype" w:hAnsi="Palatino Linotype"/>
          <w:sz w:val="18"/>
          <w:szCs w:val="18"/>
          <w:lang w:val="en-US"/>
        </w:rPr>
        <w:t>La Clasificación Internacional de Enfermedades (CIE) en la Clasificación Internacional de Enfermedades (CIE) es la "herramienta de diagnóstico estándar internacional para epidemiología, gestión de la salud y fines clínicos</w:t>
      </w:r>
    </w:p>
    <w:p w14:paraId="62E902D2" w14:textId="35623B6B" w:rsidR="008C6E44" w:rsidRPr="008C6E44" w:rsidRDefault="008C6E44">
      <w:pPr>
        <w:pStyle w:val="FootnoteText"/>
        <w:rPr>
          <w:lang w:val="en-US"/>
        </w:rPr>
      </w:pPr>
    </w:p>
  </w:footnote>
  <w:footnote w:id="2">
    <w:p w14:paraId="79970B60" w14:textId="7A762078" w:rsidR="008C6E44" w:rsidRPr="008C6E44" w:rsidRDefault="008C6E44" w:rsidP="008C6E44">
      <w:pPr>
        <w:spacing w:after="160" w:line="259" w:lineRule="auto"/>
        <w:rPr>
          <w:rFonts w:ascii="Palatino Linotype" w:hAnsi="Palatino Linotype"/>
          <w:highlight w:val="yellow"/>
          <w:lang w:val="en-US"/>
        </w:rPr>
      </w:pPr>
      <w:r>
        <w:rPr>
          <w:rStyle w:val="FootnoteReference"/>
        </w:rPr>
        <w:footnoteRef/>
      </w:r>
      <w:r w:rsidRPr="008C6E44">
        <w:rPr>
          <w:lang w:val="en-US"/>
        </w:rPr>
        <w:t xml:space="preserve"> </w:t>
      </w:r>
      <w:r w:rsidRPr="008C6E44">
        <w:rPr>
          <w:rFonts w:ascii="Palatino Linotype" w:hAnsi="Palatino Linotype"/>
          <w:sz w:val="18"/>
          <w:szCs w:val="18"/>
          <w:lang w:val="en-US"/>
        </w:rPr>
        <w:t>A través de la sensibilización y la implementación de algunas medidas rentables, como prácticas adecuadas de lavado de manos, saneamiento adecuado de los dispositivos hospitalarios y la administración vigilante de la terapia antimicrobiana, como cursos más cortos de tratamiento y el desarrollo de nuevos remedios antibióticos.</w:t>
      </w:r>
    </w:p>
  </w:footnote>
  <w:footnote w:id="3">
    <w:p w14:paraId="1E4FBDA6" w14:textId="77777777" w:rsidR="008C6E44" w:rsidRPr="008C6E44" w:rsidRDefault="008C6E44" w:rsidP="008C6E44">
      <w:pPr>
        <w:spacing w:after="160" w:line="259" w:lineRule="auto"/>
        <w:rPr>
          <w:rFonts w:ascii="Palatino Linotype" w:hAnsi="Palatino Linotype"/>
          <w:highlight w:val="yellow"/>
          <w:lang w:val="en-US"/>
        </w:rPr>
      </w:pPr>
      <w:r>
        <w:rPr>
          <w:rStyle w:val="FootnoteReference"/>
        </w:rPr>
        <w:footnoteRef/>
      </w:r>
      <w:r w:rsidRPr="008C6E44">
        <w:rPr>
          <w:lang w:val="en-US"/>
        </w:rPr>
        <w:t xml:space="preserve"> </w:t>
      </w:r>
      <w:r w:rsidRPr="008C6E44">
        <w:rPr>
          <w:rFonts w:ascii="Palatino Linotype" w:hAnsi="Palatino Linotype"/>
          <w:sz w:val="18"/>
          <w:szCs w:val="18"/>
          <w:lang w:val="en-US"/>
        </w:rPr>
        <w:t>Australia, Brasil, Canadá, Reino Unido, Francia, Alemania, Irlanda, Italia, Pakistán, España, Arabia Saudita, Sudán, Suecia, Turquía, Tailandia, EE. UU.</w:t>
      </w:r>
    </w:p>
    <w:p w14:paraId="60F5DA8A" w14:textId="742B3A88" w:rsidR="008C6E44" w:rsidRPr="008C6E44" w:rsidRDefault="008C6E4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D6B3" w14:textId="77777777" w:rsidR="00E429C4" w:rsidRDefault="00E4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0AEF15F3"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1129C832"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02F2B1E9"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F7C29"/>
    <w:multiLevelType w:val="hybridMultilevel"/>
    <w:tmpl w:val="51301E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3FF8"/>
    <w:rsid w:val="00005B13"/>
    <w:rsid w:val="00011B88"/>
    <w:rsid w:val="0002296B"/>
    <w:rsid w:val="00054325"/>
    <w:rsid w:val="00055277"/>
    <w:rsid w:val="00061048"/>
    <w:rsid w:val="00072355"/>
    <w:rsid w:val="00074AA8"/>
    <w:rsid w:val="000A577C"/>
    <w:rsid w:val="000A7C27"/>
    <w:rsid w:val="000C08BA"/>
    <w:rsid w:val="001167F6"/>
    <w:rsid w:val="0012436C"/>
    <w:rsid w:val="001336BE"/>
    <w:rsid w:val="00133AC9"/>
    <w:rsid w:val="001351CC"/>
    <w:rsid w:val="00145644"/>
    <w:rsid w:val="00174B4F"/>
    <w:rsid w:val="00181926"/>
    <w:rsid w:val="00185C6F"/>
    <w:rsid w:val="001902D7"/>
    <w:rsid w:val="001B7700"/>
    <w:rsid w:val="001C2E05"/>
    <w:rsid w:val="001D3A35"/>
    <w:rsid w:val="001E194C"/>
    <w:rsid w:val="001F7767"/>
    <w:rsid w:val="00204B37"/>
    <w:rsid w:val="00210A4D"/>
    <w:rsid w:val="0021186D"/>
    <w:rsid w:val="0021780B"/>
    <w:rsid w:val="002277BE"/>
    <w:rsid w:val="00241A9A"/>
    <w:rsid w:val="0024623B"/>
    <w:rsid w:val="0024678F"/>
    <w:rsid w:val="002643D8"/>
    <w:rsid w:val="002804FC"/>
    <w:rsid w:val="00286E25"/>
    <w:rsid w:val="0029044E"/>
    <w:rsid w:val="00292C21"/>
    <w:rsid w:val="00351612"/>
    <w:rsid w:val="00362F62"/>
    <w:rsid w:val="00390D48"/>
    <w:rsid w:val="003B7383"/>
    <w:rsid w:val="003C09E4"/>
    <w:rsid w:val="003E27B6"/>
    <w:rsid w:val="003E3C32"/>
    <w:rsid w:val="00421917"/>
    <w:rsid w:val="00425F2F"/>
    <w:rsid w:val="004918F2"/>
    <w:rsid w:val="004F1B8A"/>
    <w:rsid w:val="00513F69"/>
    <w:rsid w:val="00536536"/>
    <w:rsid w:val="005461B0"/>
    <w:rsid w:val="00566402"/>
    <w:rsid w:val="00566D89"/>
    <w:rsid w:val="00576189"/>
    <w:rsid w:val="00581491"/>
    <w:rsid w:val="0058500D"/>
    <w:rsid w:val="005867DB"/>
    <w:rsid w:val="005B3366"/>
    <w:rsid w:val="005C0B96"/>
    <w:rsid w:val="005D5557"/>
    <w:rsid w:val="006028C8"/>
    <w:rsid w:val="0061095F"/>
    <w:rsid w:val="00634250"/>
    <w:rsid w:val="00643501"/>
    <w:rsid w:val="00643AA6"/>
    <w:rsid w:val="0064507A"/>
    <w:rsid w:val="00665CA4"/>
    <w:rsid w:val="006824F2"/>
    <w:rsid w:val="00695860"/>
    <w:rsid w:val="006A7E20"/>
    <w:rsid w:val="006E4C6D"/>
    <w:rsid w:val="00711F5B"/>
    <w:rsid w:val="0071330F"/>
    <w:rsid w:val="0071619D"/>
    <w:rsid w:val="00723E58"/>
    <w:rsid w:val="007301EC"/>
    <w:rsid w:val="007327F4"/>
    <w:rsid w:val="00762A8C"/>
    <w:rsid w:val="00765573"/>
    <w:rsid w:val="007A3FF2"/>
    <w:rsid w:val="007B183D"/>
    <w:rsid w:val="007B7571"/>
    <w:rsid w:val="007D087A"/>
    <w:rsid w:val="007D0AE9"/>
    <w:rsid w:val="007E4E3B"/>
    <w:rsid w:val="007F6CBE"/>
    <w:rsid w:val="008042F5"/>
    <w:rsid w:val="00824AA8"/>
    <w:rsid w:val="00870AC4"/>
    <w:rsid w:val="00876C33"/>
    <w:rsid w:val="008B0E14"/>
    <w:rsid w:val="008B4060"/>
    <w:rsid w:val="008C08EC"/>
    <w:rsid w:val="008C6E44"/>
    <w:rsid w:val="008D69B3"/>
    <w:rsid w:val="008E3D78"/>
    <w:rsid w:val="008F4B36"/>
    <w:rsid w:val="009153A8"/>
    <w:rsid w:val="00916527"/>
    <w:rsid w:val="00920DD4"/>
    <w:rsid w:val="00922DAC"/>
    <w:rsid w:val="00931579"/>
    <w:rsid w:val="00934A8C"/>
    <w:rsid w:val="00952379"/>
    <w:rsid w:val="00965FAC"/>
    <w:rsid w:val="009821AA"/>
    <w:rsid w:val="00984DBF"/>
    <w:rsid w:val="00987771"/>
    <w:rsid w:val="00993B99"/>
    <w:rsid w:val="009D2B23"/>
    <w:rsid w:val="00A05599"/>
    <w:rsid w:val="00A10A78"/>
    <w:rsid w:val="00A336FA"/>
    <w:rsid w:val="00A47F02"/>
    <w:rsid w:val="00A54965"/>
    <w:rsid w:val="00A62EAC"/>
    <w:rsid w:val="00A6560A"/>
    <w:rsid w:val="00A66944"/>
    <w:rsid w:val="00A9231F"/>
    <w:rsid w:val="00AC02DF"/>
    <w:rsid w:val="00AF0EB6"/>
    <w:rsid w:val="00B26444"/>
    <w:rsid w:val="00B42B04"/>
    <w:rsid w:val="00BB754D"/>
    <w:rsid w:val="00BF0EFD"/>
    <w:rsid w:val="00BF3FCE"/>
    <w:rsid w:val="00C02547"/>
    <w:rsid w:val="00C31E46"/>
    <w:rsid w:val="00C836BA"/>
    <w:rsid w:val="00C83923"/>
    <w:rsid w:val="00C858D5"/>
    <w:rsid w:val="00CE23F2"/>
    <w:rsid w:val="00D06F9A"/>
    <w:rsid w:val="00D0760C"/>
    <w:rsid w:val="00D106C1"/>
    <w:rsid w:val="00D25087"/>
    <w:rsid w:val="00D463D4"/>
    <w:rsid w:val="00D5713A"/>
    <w:rsid w:val="00D80DD7"/>
    <w:rsid w:val="00D9180D"/>
    <w:rsid w:val="00DA55C9"/>
    <w:rsid w:val="00DB0892"/>
    <w:rsid w:val="00DC4BE8"/>
    <w:rsid w:val="00DD33E9"/>
    <w:rsid w:val="00DE7600"/>
    <w:rsid w:val="00DF3CBE"/>
    <w:rsid w:val="00E1758A"/>
    <w:rsid w:val="00E26B32"/>
    <w:rsid w:val="00E34452"/>
    <w:rsid w:val="00E419DF"/>
    <w:rsid w:val="00E429C4"/>
    <w:rsid w:val="00E55FE0"/>
    <w:rsid w:val="00E86360"/>
    <w:rsid w:val="00EA4CF5"/>
    <w:rsid w:val="00EB197A"/>
    <w:rsid w:val="00EB4318"/>
    <w:rsid w:val="00EB53A0"/>
    <w:rsid w:val="00EC53B1"/>
    <w:rsid w:val="00EC668C"/>
    <w:rsid w:val="00ED5C7A"/>
    <w:rsid w:val="00EF1E94"/>
    <w:rsid w:val="00EF7A96"/>
    <w:rsid w:val="00F66262"/>
    <w:rsid w:val="00F73C34"/>
    <w:rsid w:val="00F7545C"/>
    <w:rsid w:val="00F758F6"/>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 w:type="paragraph" w:styleId="FootnoteText">
    <w:name w:val="footnote text"/>
    <w:basedOn w:val="Normal"/>
    <w:link w:val="FootnoteTextChar"/>
    <w:semiHidden/>
    <w:unhideWhenUsed/>
    <w:rsid w:val="008C6E44"/>
    <w:rPr>
      <w:sz w:val="20"/>
      <w:szCs w:val="20"/>
    </w:rPr>
  </w:style>
  <w:style w:type="character" w:customStyle="1" w:styleId="FootnoteTextChar">
    <w:name w:val="Footnote Text Char"/>
    <w:basedOn w:val="DefaultParagraphFont"/>
    <w:link w:val="FootnoteText"/>
    <w:semiHidden/>
    <w:rsid w:val="008C6E44"/>
    <w:rPr>
      <w:rFonts w:eastAsia="Calibri"/>
    </w:rPr>
  </w:style>
  <w:style w:type="character" w:styleId="FootnoteReference">
    <w:name w:val="footnote reference"/>
    <w:basedOn w:val="DefaultParagraphFont"/>
    <w:semiHidden/>
    <w:unhideWhenUsed/>
    <w:rsid w:val="008C6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sepsisda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6698-6B70-594E-8018-C602BBCA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C:\temp\GSA_Letterhead.dotx</Template>
  <TotalTime>2</TotalTime>
  <Pages>7</Pages>
  <Words>2287</Words>
  <Characters>13042</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15299</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3</cp:revision>
  <cp:lastPrinted>2017-05-29T11:26:00Z</cp:lastPrinted>
  <dcterms:created xsi:type="dcterms:W3CDTF">2020-01-16T15:29:00Z</dcterms:created>
  <dcterms:modified xsi:type="dcterms:W3CDTF">2020-01-16T15:45:00Z</dcterms:modified>
  <cp:category/>
</cp:coreProperties>
</file>